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22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Nutanix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29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Juniper Networks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ACI World Wide Solutions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31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&amp; 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Accenture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26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Oracle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Robosoft PPT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VM Ware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Siemens Healthcare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August 2019 – IBM ISL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2019 - Robosoft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2019- Ymedia Labs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 xml:space="preserve">th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2019- ACI Word Wide Solutions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- 16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Mind Tree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-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20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2019 - FACE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2019 - </w:t>
      </w:r>
      <w:bookmarkStart w:id="0" w:name="%252525252525253A19m"/>
      <w:bookmarkEnd w:id="0"/>
      <w:r>
        <w:rPr>
          <w:rFonts w:ascii="Arial Narrow;sans-serif" w:hAnsi="Arial Narrow;sans-serif"/>
          <w:b/>
          <w:color w:val="000000"/>
          <w:sz w:val="40"/>
          <w:szCs w:val="40"/>
        </w:rPr>
        <w:t>Analytics Quotient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25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TE Connectivity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- 26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Evry India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Hexaware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- 17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Session for 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year mechanical students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October 2019 – Semnox Solutions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Hewlett Packard Enterprize(HPE)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LibreOffice/6.0.5.2$Linux_x86 LibreOffice_project/00m0$Build-2</Application>
  <Pages>1</Pages>
  <Words>162</Words>
  <Characters>697</Characters>
  <CharactersWithSpaces>855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2019-09-13T10:38:44Z</dcterms:modified>
  <cp:revision>99</cp:revision>
  <dc:subject/>
  <dc:title/>
</cp:coreProperties>
</file>