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u w:val="single"/>
        </w:rPr>
      </w:pPr>
      <w:r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>Campus Interview Dates 2019 - 20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Arial Narrow;sans-serif" w:hAnsi="Arial Narrow;sans-serif"/>
          <w:b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~ 22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nd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&amp; 23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rd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Aug 2019 – Nutanix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~ 29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Aug 2019 – Juniper Networks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~ 9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Sept 2019 – ACI World Wide Solutions 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~ 31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st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Aug &amp; 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st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Sept 2019 – Accenture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~ 26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Aug 2019 – Oracle 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- 19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Aug 2019 – Robosoft PPT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- 19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&amp; 20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Aug 2019 – VM Ware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st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Aug 2019 – Siemens Healthcare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- 30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August 2019 – IBM ISL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>
          <w:rFonts w:ascii="Arial Narrow;sans-serif" w:hAnsi="Arial Narrow;sans-serif"/>
          <w:b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- 12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Sept 2019- Ymedia Labs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- 13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 xml:space="preserve">th 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&amp; 14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Sept 2019- ACI Word Wide Solutions 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- 23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rd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Sept 2019 - </w:t>
      </w:r>
      <w:bookmarkStart w:id="0" w:name="%25253A19m"/>
      <w:bookmarkEnd w:id="0"/>
      <w:r>
        <w:rPr>
          <w:rFonts w:ascii="Arial Narrow;sans-serif" w:hAnsi="Arial Narrow;sans-serif"/>
          <w:b/>
          <w:color w:val="000000"/>
          <w:sz w:val="40"/>
          <w:szCs w:val="40"/>
        </w:rPr>
        <w:t>Analytics Quotient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- 30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Sept 2019 – Hexaware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>
          <w:rFonts w:ascii="Arial Narrow;sans-serif" w:hAnsi="Arial Narrow;sans-serif"/>
          <w:b/>
          <w:b/>
          <w:color w:val="000000"/>
          <w:sz w:val="40"/>
          <w:szCs w:val="40"/>
        </w:rPr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- 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>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st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October 2019 – Semnox Solutions 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</TotalTime>
  <Application>LibreOffice/6.0.5.2$Linux_x86 LibreOffice_project/00m0$Build-2</Application>
  <Pages>1</Pages>
  <Words>111</Words>
  <Characters>485</Characters>
  <CharactersWithSpaces>595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2019-08-19T12:31:18Z</dcterms:modified>
  <cp:revision>93</cp:revision>
  <dc:subject/>
  <dc:title/>
</cp:coreProperties>
</file>